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631"/>
        <w:tblW w:w="9640" w:type="dxa"/>
        <w:tblBorders>
          <w:bottom w:val="single" w:sz="12" w:space="0" w:color="808080"/>
        </w:tblBorders>
        <w:shd w:val="clear" w:color="auto" w:fill="F3F3F3"/>
        <w:tblLayout w:type="fixed"/>
        <w:tblLook w:val="0000" w:firstRow="0" w:lastRow="0" w:firstColumn="0" w:lastColumn="0" w:noHBand="0" w:noVBand="0"/>
      </w:tblPr>
      <w:tblGrid>
        <w:gridCol w:w="3199"/>
        <w:gridCol w:w="6441"/>
      </w:tblGrid>
      <w:tr w:rsidR="0067782F" w:rsidRPr="0026203D" w14:paraId="4BD76A8C" w14:textId="77777777" w:rsidTr="00505534">
        <w:trPr>
          <w:trHeight w:val="1766"/>
        </w:trPr>
        <w:tc>
          <w:tcPr>
            <w:tcW w:w="3199" w:type="dxa"/>
            <w:vAlign w:val="center"/>
          </w:tcPr>
          <w:p w14:paraId="0D4DABE3" w14:textId="77777777" w:rsidR="0067782F" w:rsidRPr="0026203D" w:rsidRDefault="0067782F" w:rsidP="00505534">
            <w:pPr>
              <w:ind w:left="-248" w:firstLine="248"/>
              <w:rPr>
                <w:rFonts w:ascii="Arial" w:hAnsi="Arial"/>
                <w:noProof/>
                <w:sz w:val="12"/>
                <w:szCs w:val="12"/>
              </w:rPr>
            </w:pPr>
            <w:r w:rsidRPr="008F03C8">
              <w:rPr>
                <w:b/>
                <w:noProof/>
                <w:sz w:val="24"/>
              </w:rPr>
              <w:drawing>
                <wp:inline distT="0" distB="0" distL="0" distR="0" wp14:anchorId="221F56B3" wp14:editId="274DE2B3">
                  <wp:extent cx="1483360" cy="1272540"/>
                  <wp:effectExtent l="0" t="0" r="2540" b="381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3360" cy="1272540"/>
                          </a:xfrm>
                          <a:prstGeom prst="rect">
                            <a:avLst/>
                          </a:prstGeom>
                          <a:noFill/>
                          <a:ln>
                            <a:noFill/>
                          </a:ln>
                        </pic:spPr>
                      </pic:pic>
                    </a:graphicData>
                  </a:graphic>
                </wp:inline>
              </w:drawing>
            </w:r>
          </w:p>
        </w:tc>
        <w:tc>
          <w:tcPr>
            <w:tcW w:w="6441" w:type="dxa"/>
            <w:shd w:val="clear" w:color="auto" w:fill="auto"/>
            <w:vAlign w:val="center"/>
          </w:tcPr>
          <w:p w14:paraId="77C7D4D7" w14:textId="77777777" w:rsidR="0067782F" w:rsidRPr="00984F6D" w:rsidRDefault="0067782F" w:rsidP="00505534">
            <w:pPr>
              <w:rPr>
                <w:rFonts w:ascii="Arial" w:hAnsi="Arial"/>
                <w:b/>
                <w:bCs/>
                <w:sz w:val="36"/>
                <w:szCs w:val="36"/>
              </w:rPr>
            </w:pPr>
            <w:r w:rsidRPr="00984F6D">
              <w:rPr>
                <w:rFonts w:ascii="Arial" w:hAnsi="Arial"/>
                <w:b/>
                <w:bCs/>
                <w:sz w:val="36"/>
                <w:szCs w:val="36"/>
              </w:rPr>
              <w:t>Pilot DGE d.o.o. Rijeka</w:t>
            </w:r>
          </w:p>
          <w:p w14:paraId="483D30D8" w14:textId="77777777" w:rsidR="0067782F" w:rsidRPr="00984F6D" w:rsidRDefault="0067782F" w:rsidP="00505534">
            <w:pPr>
              <w:rPr>
                <w:rFonts w:eastAsia="Arial Unicode MS"/>
                <w:sz w:val="16"/>
                <w:szCs w:val="16"/>
                <w:lang w:val="de-DE"/>
              </w:rPr>
            </w:pPr>
            <w:r w:rsidRPr="00984F6D">
              <w:rPr>
                <w:rFonts w:eastAsia="Arial Unicode MS"/>
                <w:sz w:val="16"/>
                <w:szCs w:val="16"/>
                <w:lang w:val="de-DE"/>
              </w:rPr>
              <w:t>za</w:t>
            </w:r>
            <w:r>
              <w:rPr>
                <w:rFonts w:eastAsia="Arial Unicode MS"/>
                <w:sz w:val="16"/>
                <w:szCs w:val="16"/>
                <w:lang w:val="de-DE"/>
              </w:rPr>
              <w:t xml:space="preserve"> </w:t>
            </w:r>
            <w:r w:rsidRPr="00984F6D">
              <w:rPr>
                <w:rFonts w:eastAsia="Arial Unicode MS"/>
                <w:sz w:val="16"/>
                <w:szCs w:val="16"/>
                <w:lang w:val="de-DE"/>
              </w:rPr>
              <w:t>geodetske</w:t>
            </w:r>
            <w:r>
              <w:rPr>
                <w:rFonts w:eastAsia="Arial Unicode MS"/>
                <w:sz w:val="16"/>
                <w:szCs w:val="16"/>
                <w:lang w:val="de-DE"/>
              </w:rPr>
              <w:t xml:space="preserve"> </w:t>
            </w:r>
            <w:r w:rsidRPr="00984F6D">
              <w:rPr>
                <w:rFonts w:eastAsia="Arial Unicode MS"/>
                <w:sz w:val="16"/>
                <w:szCs w:val="16"/>
                <w:lang w:val="de-DE"/>
              </w:rPr>
              <w:t>poslove i savjetovanje</w:t>
            </w:r>
          </w:p>
          <w:p w14:paraId="6E87A84E" w14:textId="77777777" w:rsidR="0067782F" w:rsidRDefault="0067782F" w:rsidP="00505534">
            <w:pPr>
              <w:rPr>
                <w:rFonts w:eastAsia="Arial Unicode MS"/>
                <w:sz w:val="16"/>
                <w:szCs w:val="16"/>
                <w:lang w:val="de-DE"/>
              </w:rPr>
            </w:pPr>
          </w:p>
          <w:p w14:paraId="6550B05E" w14:textId="77777777" w:rsidR="0067782F" w:rsidRPr="00984F6D" w:rsidRDefault="0067782F" w:rsidP="00505534">
            <w:pPr>
              <w:rPr>
                <w:rFonts w:eastAsia="Arial Unicode MS"/>
                <w:sz w:val="16"/>
                <w:szCs w:val="16"/>
                <w:lang w:val="de-DE"/>
              </w:rPr>
            </w:pPr>
            <w:r w:rsidRPr="00984F6D">
              <w:rPr>
                <w:rFonts w:eastAsia="Arial Unicode MS"/>
                <w:sz w:val="16"/>
                <w:szCs w:val="16"/>
                <w:lang w:val="de-DE"/>
              </w:rPr>
              <w:t>Riva Boduli 53A, 51000 Rijeka                                                            IBAN HR9999999999999999999</w:t>
            </w:r>
          </w:p>
          <w:p w14:paraId="638B060D" w14:textId="77777777" w:rsidR="0067782F" w:rsidRPr="00984F6D" w:rsidRDefault="0067782F" w:rsidP="00505534">
            <w:pPr>
              <w:rPr>
                <w:rFonts w:eastAsia="Arial Unicode MS"/>
                <w:sz w:val="16"/>
                <w:szCs w:val="16"/>
                <w:lang w:val="de-DE"/>
              </w:rPr>
            </w:pPr>
            <w:r w:rsidRPr="00984F6D">
              <w:rPr>
                <w:rFonts w:eastAsia="Arial Unicode MS"/>
                <w:sz w:val="16"/>
                <w:szCs w:val="16"/>
                <w:lang w:val="de-DE"/>
              </w:rPr>
              <w:t>Tel. +385 51 2233 444 / Faks +385 51 2233 445                                  OIB 18103268927</w:t>
            </w:r>
          </w:p>
          <w:p w14:paraId="6773FCE2" w14:textId="77777777" w:rsidR="0067782F" w:rsidRPr="00984F6D" w:rsidRDefault="0067782F" w:rsidP="00505534">
            <w:pPr>
              <w:rPr>
                <w:rFonts w:eastAsia="Arial Unicode MS"/>
                <w:sz w:val="16"/>
                <w:szCs w:val="16"/>
                <w:lang w:val="de-DE"/>
              </w:rPr>
            </w:pPr>
            <w:r w:rsidRPr="00984F6D">
              <w:rPr>
                <w:rFonts w:eastAsia="Arial Unicode MS"/>
                <w:sz w:val="16"/>
                <w:szCs w:val="16"/>
                <w:lang w:val="de-DE"/>
              </w:rPr>
              <w:t xml:space="preserve">E-mail: </w:t>
            </w:r>
            <w:hyperlink r:id="rId8" w:history="1">
              <w:r w:rsidRPr="00984F6D">
                <w:rPr>
                  <w:rStyle w:val="Hyperlink"/>
                  <w:rFonts w:eastAsia="Arial Unicode MS"/>
                  <w:sz w:val="16"/>
                  <w:szCs w:val="16"/>
                  <w:lang w:val="de-DE"/>
                </w:rPr>
                <w:t>pilotdge@pilotdge.hr</w:t>
              </w:r>
            </w:hyperlink>
            <w:r>
              <w:rPr>
                <w:rStyle w:val="Hyperlink"/>
                <w:rFonts w:eastAsia="Arial Unicode MS"/>
                <w:sz w:val="16"/>
                <w:szCs w:val="16"/>
                <w:lang w:val="de-DE"/>
              </w:rPr>
              <w:t xml:space="preserve"> </w:t>
            </w:r>
          </w:p>
          <w:p w14:paraId="67B953F9" w14:textId="77777777" w:rsidR="0067782F" w:rsidRPr="0026203D" w:rsidRDefault="0067782F" w:rsidP="00505534">
            <w:pPr>
              <w:pStyle w:val="Heading2"/>
              <w:spacing w:line="240" w:lineRule="auto"/>
              <w:rPr>
                <w:rFonts w:ascii="Arial" w:eastAsia="Arial Unicode MS" w:hAnsi="Arial" w:cs="Arial"/>
                <w:b w:val="0"/>
                <w:noProof/>
                <w:sz w:val="18"/>
                <w:szCs w:val="15"/>
                <w:lang w:val="hr-HR"/>
              </w:rPr>
            </w:pPr>
            <w:r w:rsidRPr="00984F6D">
              <w:rPr>
                <w:rFonts w:ascii="Arial Narrow" w:eastAsia="Arial Unicode MS" w:hAnsi="Arial Narrow"/>
                <w:sz w:val="16"/>
                <w:szCs w:val="16"/>
              </w:rPr>
              <w:t>www.pilotdge.hr</w:t>
            </w:r>
          </w:p>
        </w:tc>
      </w:tr>
    </w:tbl>
    <w:p w14:paraId="4F82820C" w14:textId="77777777" w:rsidR="003542FB" w:rsidRDefault="003542FB">
      <w:pPr>
        <w:rPr>
          <w:sz w:val="20"/>
          <w:szCs w:val="20"/>
        </w:rPr>
      </w:pPr>
    </w:p>
    <w:p w14:paraId="5CC3EA76" w14:textId="77777777" w:rsidR="003542FB" w:rsidRDefault="003542FB">
      <w:pPr>
        <w:rPr>
          <w:noProof/>
          <w:sz w:val="20"/>
          <w:szCs w:val="20"/>
          <w:u w:val="single"/>
        </w:rPr>
      </w:pPr>
    </w:p>
    <w:p w14:paraId="6306A47B" w14:textId="77777777" w:rsidR="003542FB" w:rsidRPr="00E30359" w:rsidRDefault="003542FB">
      <w:pPr>
        <w:rPr>
          <w:noProof/>
          <w:szCs w:val="22"/>
          <w:highlight w:val="lightGray"/>
        </w:rPr>
      </w:pPr>
      <w:r>
        <w:rPr>
          <w:noProof/>
          <w:sz w:val="20"/>
          <w:szCs w:val="20"/>
        </w:rPr>
        <w:tab/>
      </w:r>
    </w:p>
    <w:p w14:paraId="10E0E6F1" w14:textId="77777777" w:rsidR="003542FB" w:rsidRPr="00E30359" w:rsidRDefault="003542FB">
      <w:pPr>
        <w:jc w:val="right"/>
        <w:rPr>
          <w:b/>
          <w:sz w:val="20"/>
          <w:szCs w:val="20"/>
        </w:rPr>
      </w:pPr>
      <w:r w:rsidRPr="00E30359">
        <w:rPr>
          <w:b/>
          <w:noProof/>
          <w:sz w:val="20"/>
          <w:szCs w:val="20"/>
        </w:rPr>
        <w:t>REPUBLIKA HRVATSKA</w:t>
      </w:r>
      <w:r w:rsidRPr="00E30359">
        <w:rPr>
          <w:b/>
          <w:noProof/>
          <w:sz w:val="20"/>
          <w:szCs w:val="20"/>
        </w:rPr>
        <w:br/>
        <w:t>DRŽAVNA GEODETSKA UPRAVA</w:t>
      </w:r>
      <w:r w:rsidRPr="00E30359">
        <w:rPr>
          <w:b/>
          <w:noProof/>
          <w:sz w:val="20"/>
          <w:szCs w:val="20"/>
        </w:rPr>
        <w:br/>
        <w:t>PODRUČNI URED ZA KATASTAR VARAŽDIN</w:t>
      </w:r>
      <w:r w:rsidRPr="00E30359">
        <w:rPr>
          <w:b/>
          <w:noProof/>
          <w:sz w:val="20"/>
          <w:szCs w:val="20"/>
        </w:rPr>
        <w:br/>
        <w:t>ODJEL ZA KATASTAR NEKRETNINA VARAŽDIN</w:t>
      </w:r>
      <w:r w:rsidRPr="00E30359">
        <w:rPr>
          <w:b/>
          <w:noProof/>
          <w:sz w:val="20"/>
          <w:szCs w:val="20"/>
        </w:rPr>
        <w:br/>
      </w:r>
    </w:p>
    <w:p w14:paraId="1F086061" w14:textId="77777777" w:rsidR="003542FB" w:rsidRPr="0045198E" w:rsidRDefault="003542FB">
      <w:pPr>
        <w:spacing w:line="360" w:lineRule="auto"/>
        <w:jc w:val="center"/>
        <w:rPr>
          <w:b/>
          <w:color w:val="000000" w:themeColor="text1"/>
          <w:sz w:val="24"/>
        </w:rPr>
      </w:pPr>
      <w:r>
        <w:rPr>
          <w:b/>
          <w:color w:val="000000" w:themeColor="text1"/>
          <w:sz w:val="24"/>
        </w:rPr>
        <w:t xml:space="preserve">TEHNIČKO </w:t>
      </w:r>
      <w:r w:rsidRPr="0045198E">
        <w:rPr>
          <w:b/>
          <w:color w:val="000000" w:themeColor="text1"/>
          <w:sz w:val="24"/>
        </w:rPr>
        <w:t>IZVJEŠĆE</w:t>
      </w:r>
    </w:p>
    <w:p w14:paraId="1F661EE4" w14:textId="77777777" w:rsidR="003542FB" w:rsidRPr="00E30359" w:rsidRDefault="003542FB">
      <w:pPr>
        <w:spacing w:line="360" w:lineRule="auto"/>
        <w:rPr>
          <w:noProof/>
          <w:szCs w:val="22"/>
        </w:rPr>
      </w:pPr>
    </w:p>
    <w:p w14:paraId="0D89177A" w14:textId="50CEA13F" w:rsidR="00CD64E0" w:rsidRDefault="003542FB" w:rsidP="00423CA4">
      <w:pPr>
        <w:spacing w:line="360" w:lineRule="auto"/>
        <w:ind w:firstLine="708"/>
      </w:pPr>
      <w:r w:rsidRPr="00E30359">
        <w:rPr>
          <w:noProof/>
        </w:rPr>
        <w:t xml:space="preserve">Na zahtjev investitora </w:t>
      </w:r>
      <w:r>
        <w:rPr>
          <w:noProof/>
        </w:rPr>
        <w:t>GRAD ZAGREB, TRG STJEPANA RADIĆA 1, ZAGREB, 10000 ZAGREB, OIB: 61817894937,</w:t>
      </w:r>
      <w:r w:rsidRPr="00E30359">
        <w:rPr>
          <w:noProof/>
        </w:rPr>
        <w:t>izrađen je GEODETSKI ELABORAT za pot</w:t>
      </w:r>
      <w:r>
        <w:t>rebe provođenja promjena u katastru zemljišta u svrhu GE1</w:t>
      </w:r>
      <w:r w:rsidR="007207E7">
        <w:t>a</w:t>
      </w:r>
      <w:r>
        <w:t xml:space="preserve"> – </w:t>
      </w:r>
      <w:r w:rsidR="007207E7">
        <w:t>osnivanje katastarskih čestica</w:t>
      </w:r>
      <w:r>
        <w:rPr>
          <w:b/>
        </w:rPr>
        <w:t xml:space="preserve">, </w:t>
      </w:r>
      <w:r w:rsidRPr="00423CA4">
        <w:rPr>
          <w:b/>
          <w:color w:val="7030A0"/>
        </w:rPr>
        <w:t>na k.č. 1889/1, 1889/5 u k.o. KELEMEN</w:t>
      </w:r>
      <w:r>
        <w:t xml:space="preserve">, a za zahvat u prostoru </w:t>
      </w:r>
      <w:r w:rsidR="00CD64E0" w:rsidRPr="00654B3F">
        <w:rPr>
          <w:i/>
          <w:iCs/>
          <w:color w:val="FF0000"/>
        </w:rPr>
        <w:t>(Primjenjivo u pravilu na elaboratima koji se izrađuju na temelju dokumenata i akata prostornog uređenja ili pomorskog/vodnog dobra (GE2-GE9). U tom slučaju zahvat u prostoru je onaj zahvat koji piše u izreci Rješenja (lokacijska, građevinska, RGČ, pomorsko dobro itd.) ili naziv urbanističkog plana i područje određeno planom koje se obrađuje.)</w:t>
      </w:r>
      <w:r>
        <w:br/>
      </w:r>
      <w:r>
        <w:br/>
        <w:t>Akt koji je osnova za izradu elaborata je:</w:t>
      </w:r>
      <w:r w:rsidR="0010100F">
        <w:t xml:space="preserve"> </w:t>
      </w:r>
      <w:r w:rsidR="0010100F" w:rsidRPr="00423CA4">
        <w:rPr>
          <w:color w:val="7030A0"/>
        </w:rPr>
        <w:t>…</w:t>
      </w:r>
      <w:r>
        <w:br/>
      </w:r>
      <w:r>
        <w:br/>
      </w:r>
      <w:r>
        <w:br/>
        <w:t xml:space="preserve">Također, ovim elaboratom evidentirane su i </w:t>
      </w:r>
      <w:r w:rsidR="0011667B">
        <w:t>granice</w:t>
      </w:r>
      <w:r>
        <w:t xml:space="preserve"> između predmetnih katastarskih čestica </w:t>
      </w:r>
      <w:r w:rsidRPr="00423CA4">
        <w:rPr>
          <w:color w:val="7030A0"/>
        </w:rPr>
        <w:t>1889/1, 1889/5 u k.o. KELEMEN</w:t>
      </w:r>
      <w:r>
        <w:t xml:space="preserve">, te susjednih katastarskih čestica </w:t>
      </w:r>
      <w:r w:rsidRPr="00423CA4">
        <w:rPr>
          <w:color w:val="7030A0"/>
        </w:rPr>
        <w:t xml:space="preserve">1877, 1889/2, 1889/3, 2634 u k.o. KELEMEN </w:t>
      </w:r>
      <w:r>
        <w:t xml:space="preserve">sa čime su </w:t>
      </w:r>
      <w:r w:rsidR="00F95C21" w:rsidRPr="00423CA4">
        <w:t>upisane osobe/osobe koje imaju pravni interes</w:t>
      </w:r>
      <w:r w:rsidR="00F95C21" w:rsidRPr="0011667B">
        <w:t xml:space="preserve"> </w:t>
      </w:r>
      <w:r w:rsidRPr="00423CA4">
        <w:t>na nekretninama suglasn</w:t>
      </w:r>
      <w:r w:rsidR="0030645F" w:rsidRPr="00423CA4">
        <w:t xml:space="preserve">e </w:t>
      </w:r>
      <w:r w:rsidRPr="00423CA4">
        <w:t>što potvrđuju svojim potpisom.</w:t>
      </w:r>
    </w:p>
    <w:p w14:paraId="4B670A0B" w14:textId="77777777" w:rsidR="00CD64E0" w:rsidRDefault="00CD64E0">
      <w:pPr>
        <w:spacing w:line="360" w:lineRule="auto"/>
      </w:pPr>
    </w:p>
    <w:p w14:paraId="2B0DDD4E" w14:textId="0BABAA06" w:rsidR="00CD64E0" w:rsidRDefault="00654B3F">
      <w:pPr>
        <w:spacing w:line="360" w:lineRule="auto"/>
        <w:rPr>
          <w:color w:val="7030A0"/>
        </w:rPr>
      </w:pPr>
      <w:r w:rsidRPr="00F95C21">
        <w:rPr>
          <w:color w:val="7030A0"/>
        </w:rPr>
        <w:t>Dioba predmetnih katastarskih čestica provodi se u svrhu međusobnog usklađenja stanja u katastarskom operatu i zemljišnoj knjizi sa stanjem u naravi, a sve sukladno članku 25. stavku 3. Zakona o državnoj izmjeri i katastru nekretnina (NN 112/2018., 39/2022</w:t>
      </w:r>
      <w:r w:rsidR="0030210E" w:rsidRPr="00F95C21">
        <w:rPr>
          <w:color w:val="7030A0"/>
        </w:rPr>
        <w:t>, 152/24</w:t>
      </w:r>
      <w:r w:rsidRPr="00F95C21">
        <w:rPr>
          <w:color w:val="7030A0"/>
        </w:rPr>
        <w:t>) i vezanom Objašnjenju (KLASA: 932-01/20-02/143, URBROJ: 541-03/1-20-2, Zagreb, 01.12.2020.), a kojim se mogu određivati katastarske čestice i unutar granica građevinskog područja i na građevinskom zemljištu izvan granica toga područja. Predmetnom diobom određuju se katastarske čestice koje ne predstavljaju građevne čestice u smislu propisa koji uređuju područje prostornog uređenja i gradnje.</w:t>
      </w:r>
    </w:p>
    <w:p w14:paraId="53A67129" w14:textId="105FB1D7" w:rsidR="00F95C21" w:rsidRPr="00F95C21" w:rsidRDefault="00F95C21">
      <w:pPr>
        <w:spacing w:line="360" w:lineRule="auto"/>
        <w:rPr>
          <w:color w:val="FF0000"/>
        </w:rPr>
      </w:pPr>
      <w:r w:rsidRPr="00F95C21">
        <w:rPr>
          <w:color w:val="FF0000"/>
        </w:rPr>
        <w:t>Primjenjivo samo za GE sukladno članku 25. stavak 3 ZDIKN.</w:t>
      </w:r>
    </w:p>
    <w:p w14:paraId="356315F7" w14:textId="77777777" w:rsidR="0010100F" w:rsidRDefault="0010100F">
      <w:pPr>
        <w:spacing w:line="360" w:lineRule="auto"/>
      </w:pPr>
    </w:p>
    <w:p w14:paraId="7B65DA79" w14:textId="77777777" w:rsidR="00CD64E0" w:rsidRDefault="00CD64E0">
      <w:pPr>
        <w:spacing w:line="360" w:lineRule="auto"/>
      </w:pPr>
    </w:p>
    <w:p w14:paraId="00CA7AC4" w14:textId="7E4A171E" w:rsidR="00CD64E0" w:rsidRPr="00654B3F" w:rsidRDefault="00CD64E0">
      <w:pPr>
        <w:spacing w:line="360" w:lineRule="auto"/>
        <w:rPr>
          <w:color w:val="FF0000"/>
        </w:rPr>
      </w:pPr>
      <w:r w:rsidRPr="00654B3F">
        <w:rPr>
          <w:color w:val="FF0000"/>
        </w:rPr>
        <w:t>&gt;&gt;&gt;&gt;&gt;&gt;&gt;&gt;&gt;&gt;&gt;&gt;&gt;&gt;&gt;&gt;&gt;&gt;&gt;&gt;&gt;&gt;&gt;&gt;&gt;&gt;&gt;&gt;&gt;&gt;&gt;&gt;&gt;&gt;&gt;&gt;&gt;&gt;&gt;&gt;&gt;&gt;&gt;&gt;&gt;&gt;&gt;&gt;&gt;&gt;&gt;&gt;&gt;&gt;&gt;&gt;&gt;&gt;&gt;&gt;&gt;&gt;&gt;&gt;&gt;&gt;&gt;&gt;&gt;&gt;&gt;&gt;&gt;&gt;&gt;&gt;&gt;&gt;&gt;&gt;&gt;&gt;&gt;&gt;&gt;&gt;</w:t>
      </w:r>
    </w:p>
    <w:p w14:paraId="1B9FDB3A" w14:textId="45F4EDD2" w:rsidR="00CD64E0" w:rsidRDefault="00CD64E0">
      <w:pPr>
        <w:spacing w:line="360" w:lineRule="auto"/>
      </w:pPr>
      <w:r>
        <w:lastRenderedPageBreak/>
        <w:tab/>
        <w:t xml:space="preserve">Razgraničenje između predmetnih katastarskih čestica XXX u k.o. </w:t>
      </w:r>
      <w:r w:rsidR="007376D7">
        <w:t>ZZZ</w:t>
      </w:r>
      <w:r>
        <w:t xml:space="preserve"> te susjednih katastarskih čestica YYY k.o. </w:t>
      </w:r>
      <w:r w:rsidR="007376D7">
        <w:t>ZZZ</w:t>
      </w:r>
      <w:r>
        <w:t xml:space="preserve"> utvrđene su prethodnim geodetskim elaboratom RN GGG/GGGG, a tako utvrđeno razgraničenje u cijelosti je preuzeto u okviru izrade ovog elaborata. </w:t>
      </w:r>
    </w:p>
    <w:p w14:paraId="10FAA1AA" w14:textId="0307755A" w:rsidR="00CD64E0" w:rsidRPr="00654B3F" w:rsidRDefault="00CD64E0">
      <w:pPr>
        <w:spacing w:line="360" w:lineRule="auto"/>
        <w:rPr>
          <w:i/>
          <w:iCs/>
          <w:color w:val="FF0000"/>
        </w:rPr>
      </w:pPr>
      <w:r w:rsidRPr="00654B3F">
        <w:rPr>
          <w:i/>
          <w:iCs/>
          <w:color w:val="FF0000"/>
        </w:rPr>
        <w:t>(Ovdje dodati sve činjenice i okolnosti izrade elaborata koje su relevantne – pogre</w:t>
      </w:r>
      <w:r w:rsidRPr="00654B3F">
        <w:rPr>
          <w:rFonts w:cs="Arial Narrow"/>
          <w:i/>
          <w:iCs/>
          <w:color w:val="FF0000"/>
        </w:rPr>
        <w:t>š</w:t>
      </w:r>
      <w:r w:rsidRPr="00654B3F">
        <w:rPr>
          <w:i/>
          <w:iCs/>
          <w:color w:val="FF0000"/>
        </w:rPr>
        <w:t>ke u operatu i ZK,</w:t>
      </w:r>
      <w:r w:rsidR="00710D31">
        <w:rPr>
          <w:i/>
          <w:iCs/>
          <w:color w:val="FF0000"/>
        </w:rPr>
        <w:t xml:space="preserve"> </w:t>
      </w:r>
      <w:r w:rsidRPr="00654B3F">
        <w:rPr>
          <w:i/>
          <w:iCs/>
          <w:color w:val="FF0000"/>
        </w:rPr>
        <w:t>preuzete to</w:t>
      </w:r>
      <w:r w:rsidRPr="00654B3F">
        <w:rPr>
          <w:rFonts w:cs="Arial Narrow"/>
          <w:i/>
          <w:iCs/>
          <w:color w:val="FF0000"/>
        </w:rPr>
        <w:t>č</w:t>
      </w:r>
      <w:r w:rsidRPr="00654B3F">
        <w:rPr>
          <w:i/>
          <w:iCs/>
          <w:color w:val="FF0000"/>
        </w:rPr>
        <w:t>ke drugih elaborata, skice izmjere na koje se pozivate i sve primjedbe na geodetski elaborat koje se zaprime tijekom njegove izrade,</w:t>
      </w:r>
      <w:r w:rsidR="0010100F">
        <w:rPr>
          <w:i/>
          <w:iCs/>
          <w:color w:val="FF0000"/>
        </w:rPr>
        <w:t xml:space="preserve"> </w:t>
      </w:r>
      <w:r w:rsidRPr="00654B3F">
        <w:rPr>
          <w:i/>
          <w:iCs/>
          <w:color w:val="FF0000"/>
        </w:rPr>
        <w:t>a koj</w:t>
      </w:r>
      <w:r w:rsidR="0010100F">
        <w:rPr>
          <w:i/>
          <w:iCs/>
          <w:color w:val="FF0000"/>
        </w:rPr>
        <w:t xml:space="preserve">e </w:t>
      </w:r>
      <w:r w:rsidRPr="00654B3F">
        <w:rPr>
          <w:i/>
          <w:iCs/>
          <w:color w:val="FF0000"/>
        </w:rPr>
        <w:t>nemaju veze s novim razgraničenjem ili postojećim međama.</w:t>
      </w:r>
    </w:p>
    <w:p w14:paraId="1DDA81E5" w14:textId="502DB97D" w:rsidR="00CD64E0" w:rsidRPr="00654B3F" w:rsidRDefault="00CD64E0">
      <w:pPr>
        <w:spacing w:line="360" w:lineRule="auto"/>
        <w:rPr>
          <w:i/>
          <w:iCs/>
          <w:color w:val="FF0000"/>
        </w:rPr>
      </w:pPr>
      <w:r w:rsidRPr="00654B3F">
        <w:rPr>
          <w:i/>
          <w:iCs/>
          <w:color w:val="FF0000"/>
        </w:rPr>
        <w:t xml:space="preserve">Ovdje opisati eventualna </w:t>
      </w:r>
      <w:r w:rsidRPr="00423CA4">
        <w:rPr>
          <w:i/>
          <w:iCs/>
          <w:color w:val="FF0000"/>
        </w:rPr>
        <w:t xml:space="preserve">neslaganja </w:t>
      </w:r>
      <w:r w:rsidR="00F95C21" w:rsidRPr="00423CA4">
        <w:rPr>
          <w:i/>
          <w:iCs/>
          <w:color w:val="FF0000"/>
        </w:rPr>
        <w:t>upisanih osoba/osoba koje imaju pravni interes</w:t>
      </w:r>
      <w:r w:rsidRPr="00423CA4">
        <w:rPr>
          <w:i/>
          <w:iCs/>
          <w:color w:val="FF0000"/>
        </w:rPr>
        <w:t xml:space="preserve"> na predmetnim</w:t>
      </w:r>
      <w:r w:rsidRPr="00654B3F">
        <w:rPr>
          <w:i/>
          <w:iCs/>
          <w:color w:val="FF0000"/>
        </w:rPr>
        <w:t xml:space="preserve"> ili susjednim česticama sa samom izradom elaborata, a najčešće se odnose na nečiju gradnju, legalne ili nelegalne zgrade i druge nesuglasice među ljudima koje načelno nemaju veze s </w:t>
      </w:r>
      <w:r w:rsidR="0010100F">
        <w:rPr>
          <w:i/>
          <w:iCs/>
          <w:color w:val="FF0000"/>
        </w:rPr>
        <w:t>granicama katastarskih čestica</w:t>
      </w:r>
      <w:r w:rsidRPr="00654B3F">
        <w:rPr>
          <w:i/>
          <w:iCs/>
          <w:color w:val="FF0000"/>
        </w:rPr>
        <w:t>.</w:t>
      </w:r>
    </w:p>
    <w:p w14:paraId="72D4655A" w14:textId="1E4818F4" w:rsidR="00CD64E0" w:rsidRDefault="00CD64E0">
      <w:pPr>
        <w:spacing w:line="360" w:lineRule="auto"/>
        <w:rPr>
          <w:i/>
          <w:iCs/>
          <w:color w:val="FF0000"/>
        </w:rPr>
      </w:pPr>
      <w:r w:rsidRPr="00654B3F">
        <w:rPr>
          <w:i/>
          <w:iCs/>
          <w:color w:val="FF0000"/>
        </w:rPr>
        <w:t>Sve primjedbe koje se zaprime po ovom pitanju pisanim putem ili putem maila priložiti u sastavni dio 10.8.)</w:t>
      </w:r>
    </w:p>
    <w:p w14:paraId="4A8B5F71" w14:textId="77777777" w:rsidR="00F95C21" w:rsidRDefault="00F95C21">
      <w:pPr>
        <w:spacing w:line="360" w:lineRule="auto"/>
        <w:rPr>
          <w:i/>
          <w:iCs/>
          <w:color w:val="FF0000"/>
        </w:rPr>
      </w:pPr>
    </w:p>
    <w:p w14:paraId="4EF21105" w14:textId="0531C84F" w:rsidR="00F95C21" w:rsidRPr="00654B3F" w:rsidRDefault="00F95C21">
      <w:pPr>
        <w:spacing w:line="360" w:lineRule="auto"/>
        <w:rPr>
          <w:i/>
          <w:iCs/>
          <w:color w:val="FF0000"/>
        </w:rPr>
      </w:pPr>
      <w:r>
        <w:rPr>
          <w:i/>
          <w:iCs/>
          <w:color w:val="FF0000"/>
        </w:rPr>
        <w:t>Primjenjivo kada se</w:t>
      </w:r>
      <w:r w:rsidRPr="00F95C21">
        <w:t xml:space="preserve"> </w:t>
      </w:r>
      <w:r w:rsidRPr="00F95C21">
        <w:rPr>
          <w:i/>
          <w:iCs/>
          <w:color w:val="FF0000"/>
        </w:rPr>
        <w:t>obrađuju čestice koje već imaju mjerilo 1 s</w:t>
      </w:r>
      <w:r>
        <w:rPr>
          <w:i/>
          <w:iCs/>
          <w:color w:val="FF0000"/>
        </w:rPr>
        <w:t>a</w:t>
      </w:r>
      <w:r w:rsidRPr="00F95C21">
        <w:rPr>
          <w:i/>
          <w:iCs/>
          <w:color w:val="FF0000"/>
        </w:rPr>
        <w:t xml:space="preserve"> ili bez </w:t>
      </w:r>
      <w:r>
        <w:rPr>
          <w:i/>
          <w:iCs/>
          <w:color w:val="FF0000"/>
        </w:rPr>
        <w:t xml:space="preserve">SE </w:t>
      </w:r>
      <w:r w:rsidRPr="00F95C21">
        <w:rPr>
          <w:i/>
          <w:iCs/>
          <w:color w:val="FF0000"/>
        </w:rPr>
        <w:t>točaka, odnosno kada su takve čestice u elaboratu susjedne.</w:t>
      </w:r>
    </w:p>
    <w:p w14:paraId="6CD27913" w14:textId="16887B9B" w:rsidR="007207E7" w:rsidRPr="007376D7" w:rsidRDefault="00CD64E0">
      <w:pPr>
        <w:spacing w:line="360" w:lineRule="auto"/>
        <w:rPr>
          <w:color w:val="7030A0"/>
        </w:rPr>
      </w:pPr>
      <w:r w:rsidRPr="00654B3F">
        <w:rPr>
          <w:color w:val="FF0000"/>
        </w:rPr>
        <w:t>&gt;&gt;&gt;&gt;&gt;&gt;&gt;&gt;&gt;&gt;&gt;&gt;&gt;&gt;&gt;&gt;&gt;&gt;&gt;&gt;&gt;&gt;&gt;&gt;&gt;&gt;&gt;&gt;&gt;&gt;&gt;&gt;&gt;&gt;&gt;&gt;&gt;&gt;&gt;&gt;&gt;&gt;&gt;&gt;&gt;&gt;&gt;&gt;&gt;&gt;&gt;&gt;&gt;&gt;&gt;&gt;&gt;&gt;&gt;&gt;&gt;&gt;&gt;&gt;&gt;&gt;&gt;&gt;&gt;&gt;&gt;&gt;&gt;&gt;&gt;&gt;&gt;&gt;&gt;&gt;&gt;&gt;&gt;&gt;&gt;&gt;</w:t>
      </w:r>
      <w:r w:rsidR="003542FB">
        <w:br/>
      </w:r>
      <w:r w:rsidR="003542FB">
        <w:br/>
        <w:t xml:space="preserve">Kopija katastarskog plana koja odgovara snimljenoj situaciji u granicama točnosti plana </w:t>
      </w:r>
      <w:r w:rsidR="003542FB" w:rsidRPr="00F95C21">
        <w:rPr>
          <w:color w:val="7030A0"/>
        </w:rPr>
        <w:t>grafičke</w:t>
      </w:r>
      <w:r w:rsidR="003542FB">
        <w:t xml:space="preserve"> izmjere preklopljena je na topografski prikaz.</w:t>
      </w:r>
      <w:r w:rsidR="003542FB">
        <w:br/>
      </w:r>
      <w:r w:rsidR="003542FB">
        <w:br/>
        <w:t xml:space="preserve">Sukladno </w:t>
      </w:r>
      <w:r w:rsidRPr="00CD64E0">
        <w:rPr>
          <w:i/>
        </w:rPr>
        <w:t>poglavlju 5. Tehničkih specifikacija za izradu digitalnog katastarskog plana (DKP) i grafičkog dijela digitalnog geodetskog elaborata (DGE)</w:t>
      </w:r>
      <w:r w:rsidR="003542FB">
        <w:t>, u elaboratu (na skici mjerenja i popisu koordinata) su iskazani mjereni podaci o stvarnom stanju predmetnih katastarskih čestica.</w:t>
      </w:r>
      <w:r w:rsidR="003542FB">
        <w:br/>
      </w:r>
      <w:r w:rsidR="003542FB">
        <w:br/>
      </w:r>
      <w:r w:rsidR="003542FB" w:rsidRPr="007376D7">
        <w:rPr>
          <w:color w:val="7030A0"/>
        </w:rPr>
        <w:t xml:space="preserve">S obzirom na to da su </w:t>
      </w:r>
      <w:r w:rsidR="0010100F" w:rsidRPr="007376D7">
        <w:rPr>
          <w:color w:val="7030A0"/>
        </w:rPr>
        <w:t>granice</w:t>
      </w:r>
      <w:r w:rsidR="003542FB" w:rsidRPr="007376D7">
        <w:rPr>
          <w:color w:val="7030A0"/>
        </w:rPr>
        <w:t xml:space="preserve"> katastarskih čestica koje su predmet izrade elaborata nesporne te da je katastarski plan na području katastarskih čestica koje su predmet elaborata nastao vektorizacijom plana grafičke izmjere koji je dovoljno homogen da se na njemu može primijeniti metoda preklopa uz prilagodbu prikaza okolnih katastarskih čestica, za izradu elaborata korištena je metoda preklopa</w:t>
      </w:r>
      <w:r w:rsidRPr="007376D7">
        <w:rPr>
          <w:color w:val="7030A0"/>
        </w:rPr>
        <w:t xml:space="preserve"> (</w:t>
      </w:r>
      <w:r w:rsidRPr="007376D7">
        <w:rPr>
          <w:b/>
          <w:bCs/>
          <w:color w:val="7030A0"/>
        </w:rPr>
        <w:t>metoda 3.0</w:t>
      </w:r>
      <w:r w:rsidRPr="007376D7">
        <w:rPr>
          <w:color w:val="7030A0"/>
        </w:rPr>
        <w:t>)</w:t>
      </w:r>
      <w:r w:rsidR="003542FB" w:rsidRPr="007376D7">
        <w:rPr>
          <w:color w:val="7030A0"/>
        </w:rPr>
        <w:t xml:space="preserve"> prema točki </w:t>
      </w:r>
      <w:r w:rsidRPr="007376D7">
        <w:rPr>
          <w:rFonts w:cs="Arial"/>
          <w:color w:val="7030A0"/>
          <w:szCs w:val="22"/>
          <w:lang w:eastAsia="ar-SA"/>
        </w:rPr>
        <w:t xml:space="preserve">5.3. </w:t>
      </w:r>
      <w:r w:rsidRPr="007376D7">
        <w:rPr>
          <w:rFonts w:cs="Arial"/>
          <w:i/>
          <w:iCs/>
          <w:color w:val="7030A0"/>
          <w:szCs w:val="22"/>
          <w:lang w:eastAsia="ar-SA"/>
        </w:rPr>
        <w:t>Tehničkih specifikacija za izradu digitalnog katastarskog plana (DKP) i grafičkog dijela digitalnog geodetskog elaborata (DGE)</w:t>
      </w:r>
      <w:r w:rsidR="003542FB" w:rsidRPr="007376D7">
        <w:rPr>
          <w:color w:val="7030A0"/>
        </w:rPr>
        <w:t xml:space="preserve">, kartiranjem novoodređenih točaka međa i drugih granica i prilagodbom prikaza okolnih katastarskih čestica, pri čemu je uzet u obzir površinski kriterij iz članka 93. </w:t>
      </w:r>
      <w:r w:rsidR="003542FB" w:rsidRPr="007376D7">
        <w:rPr>
          <w:i/>
          <w:color w:val="7030A0"/>
        </w:rPr>
        <w:t xml:space="preserve">Zakona o državnoj izmjeri i katastru nekretnina </w:t>
      </w:r>
      <w:r w:rsidR="0030645F" w:rsidRPr="007376D7">
        <w:rPr>
          <w:color w:val="7030A0"/>
        </w:rPr>
        <w:t xml:space="preserve">(NN </w:t>
      </w:r>
      <w:r w:rsidR="003542FB" w:rsidRPr="007376D7">
        <w:rPr>
          <w:color w:val="7030A0"/>
        </w:rPr>
        <w:t>112/18,</w:t>
      </w:r>
      <w:r w:rsidR="0030645F" w:rsidRPr="007376D7">
        <w:rPr>
          <w:color w:val="7030A0"/>
        </w:rPr>
        <w:t xml:space="preserve"> </w:t>
      </w:r>
      <w:r w:rsidR="003542FB" w:rsidRPr="007376D7">
        <w:rPr>
          <w:color w:val="7030A0"/>
        </w:rPr>
        <w:t>39/22</w:t>
      </w:r>
      <w:r w:rsidR="0030210E" w:rsidRPr="007376D7">
        <w:rPr>
          <w:color w:val="7030A0"/>
        </w:rPr>
        <w:t>,</w:t>
      </w:r>
      <w:r w:rsidR="0030645F" w:rsidRPr="007376D7">
        <w:rPr>
          <w:color w:val="7030A0"/>
        </w:rPr>
        <w:t xml:space="preserve"> </w:t>
      </w:r>
      <w:r w:rsidR="0030210E" w:rsidRPr="007376D7">
        <w:rPr>
          <w:color w:val="7030A0"/>
        </w:rPr>
        <w:t>152/24</w:t>
      </w:r>
      <w:r w:rsidR="003542FB" w:rsidRPr="007376D7">
        <w:rPr>
          <w:color w:val="7030A0"/>
        </w:rPr>
        <w:t xml:space="preserve">). </w:t>
      </w:r>
    </w:p>
    <w:p w14:paraId="28DB08EA" w14:textId="77777777" w:rsidR="007207E7" w:rsidRDefault="007207E7" w:rsidP="00423CA4">
      <w:pPr>
        <w:pStyle w:val="CommentText"/>
        <w:spacing w:line="360" w:lineRule="auto"/>
        <w:rPr>
          <w:i/>
          <w:iCs/>
          <w:color w:val="FF0000"/>
        </w:rPr>
      </w:pPr>
      <w:r w:rsidRPr="00654B3F">
        <w:rPr>
          <w:i/>
          <w:iCs/>
          <w:color w:val="FF0000"/>
        </w:rPr>
        <w:t>(</w:t>
      </w:r>
      <w:r>
        <w:rPr>
          <w:i/>
          <w:iCs/>
          <w:color w:val="FF0000"/>
        </w:rPr>
        <w:t>Ovisno i metodama navode se:</w:t>
      </w:r>
    </w:p>
    <w:p w14:paraId="52E90C8B" w14:textId="589A0C69" w:rsidR="007207E7" w:rsidRPr="007207E7" w:rsidRDefault="007207E7" w:rsidP="00423CA4">
      <w:pPr>
        <w:pStyle w:val="CommentText"/>
        <w:spacing w:line="360" w:lineRule="auto"/>
        <w:rPr>
          <w:i/>
          <w:iCs/>
          <w:color w:val="FF0000"/>
        </w:rPr>
      </w:pPr>
      <w:r w:rsidRPr="007207E7">
        <w:rPr>
          <w:i/>
          <w:iCs/>
          <w:color w:val="FF0000"/>
        </w:rPr>
        <w:t>metoda 1.0 - prema točki 5.1.</w:t>
      </w:r>
    </w:p>
    <w:p w14:paraId="51930CA8" w14:textId="77777777" w:rsidR="007207E7" w:rsidRPr="007207E7" w:rsidRDefault="007207E7" w:rsidP="00423CA4">
      <w:pPr>
        <w:pStyle w:val="CommentText"/>
        <w:spacing w:line="360" w:lineRule="auto"/>
        <w:rPr>
          <w:i/>
          <w:iCs/>
          <w:color w:val="FF0000"/>
        </w:rPr>
      </w:pPr>
      <w:r w:rsidRPr="007207E7">
        <w:rPr>
          <w:i/>
          <w:iCs/>
          <w:color w:val="FF0000"/>
        </w:rPr>
        <w:t>metoda 2.0 - prema točki 5.2.</w:t>
      </w:r>
    </w:p>
    <w:p w14:paraId="115972E8" w14:textId="77777777" w:rsidR="007207E7" w:rsidRPr="007207E7" w:rsidRDefault="007207E7" w:rsidP="00423CA4">
      <w:pPr>
        <w:pStyle w:val="CommentText"/>
        <w:spacing w:line="360" w:lineRule="auto"/>
        <w:rPr>
          <w:i/>
          <w:iCs/>
          <w:color w:val="FF0000"/>
        </w:rPr>
      </w:pPr>
      <w:r w:rsidRPr="007207E7">
        <w:rPr>
          <w:i/>
          <w:iCs/>
          <w:color w:val="FF0000"/>
        </w:rPr>
        <w:t>metoda 3.0 - prema točki 5.3.</w:t>
      </w:r>
    </w:p>
    <w:p w14:paraId="617BD020" w14:textId="5AC13D56" w:rsidR="007207E7" w:rsidRPr="00654B3F" w:rsidRDefault="007207E7" w:rsidP="00423CA4">
      <w:pPr>
        <w:pStyle w:val="CommentText"/>
        <w:spacing w:line="360" w:lineRule="auto"/>
        <w:rPr>
          <w:i/>
          <w:iCs/>
          <w:color w:val="FF0000"/>
        </w:rPr>
      </w:pPr>
      <w:r w:rsidRPr="007207E7">
        <w:rPr>
          <w:i/>
          <w:iCs/>
          <w:color w:val="FF0000"/>
        </w:rPr>
        <w:t>metoda 4.0 - prema točki 5.4.</w:t>
      </w:r>
      <w:r w:rsidR="00CB33FB">
        <w:rPr>
          <w:i/>
          <w:iCs/>
          <w:color w:val="FF0000"/>
        </w:rPr>
        <w:t xml:space="preserve"> Tehničkih specifikacija za DKP i DGE.</w:t>
      </w:r>
      <w:r>
        <w:rPr>
          <w:i/>
          <w:iCs/>
          <w:color w:val="FF0000"/>
        </w:rPr>
        <w:t>)</w:t>
      </w:r>
    </w:p>
    <w:p w14:paraId="2BBBC667" w14:textId="645DC423" w:rsidR="003542FB" w:rsidRPr="00D04A44" w:rsidRDefault="003542FB">
      <w:pPr>
        <w:spacing w:line="360" w:lineRule="auto"/>
        <w:rPr>
          <w:i/>
          <w:iCs/>
          <w:color w:val="7F7F7F" w:themeColor="text1" w:themeTint="80"/>
        </w:rPr>
      </w:pPr>
      <w:r>
        <w:br/>
        <w:t xml:space="preserve">Površine katastarskih čestica unutar linije područja mjerenih podataka u novom stanju izračunate su iz izvornih </w:t>
      </w:r>
      <w:r>
        <w:lastRenderedPageBreak/>
        <w:t>podataka (</w:t>
      </w:r>
      <w:r w:rsidRPr="00423CA4">
        <w:t xml:space="preserve">koordinata lomnih točaka </w:t>
      </w:r>
      <w:r w:rsidR="0011667B" w:rsidRPr="00423CA4">
        <w:t>granica k.č.)</w:t>
      </w:r>
      <w:r w:rsidRPr="00423CA4">
        <w:t xml:space="preserve"> dobivenih</w:t>
      </w:r>
      <w:r>
        <w:t xml:space="preserve"> na temelju terenskih mjerenja </w:t>
      </w:r>
      <w:r w:rsidRPr="00423CA4">
        <w:t>(čl.</w:t>
      </w:r>
      <w:r w:rsidR="00710D31" w:rsidRPr="00423CA4">
        <w:t xml:space="preserve"> </w:t>
      </w:r>
      <w:r w:rsidRPr="00423CA4">
        <w:t>35. Pravilnika o katastru zemljišta, NN 84/07 i 148/09).</w:t>
      </w:r>
      <w:r>
        <w:t xml:space="preserve"> Razlike u površini katastarskih čestica koje se cijele nalaze unutar područja mjerenih podataka unutar su razlike dozvoljene u čl. 93. </w:t>
      </w:r>
      <w:r>
        <w:rPr>
          <w:i/>
        </w:rPr>
        <w:t xml:space="preserve">Zakona o državnoj izmjeri i katastru nekretnina </w:t>
      </w:r>
      <w:r>
        <w:t>(</w:t>
      </w:r>
      <w:r w:rsidR="0030645F">
        <w:t xml:space="preserve">NN </w:t>
      </w:r>
      <w:r>
        <w:t>112/18,</w:t>
      </w:r>
      <w:r w:rsidR="007207E7">
        <w:t xml:space="preserve"> </w:t>
      </w:r>
      <w:r>
        <w:t>39/22</w:t>
      </w:r>
      <w:r w:rsidR="0030210E">
        <w:t>,</w:t>
      </w:r>
      <w:r w:rsidR="007207E7">
        <w:t xml:space="preserve"> </w:t>
      </w:r>
      <w:r w:rsidR="0030210E">
        <w:t>152/24</w:t>
      </w:r>
      <w:r>
        <w:t xml:space="preserve">) i te se promjene ne smatraju promjenom sastava zemljišnoknjižnog tijela. Razlike u površini koje su izvan dozvoljene razlike pojavljuju se zbog propusta koji su nastali prilikom provođenja katastarske </w:t>
      </w:r>
      <w:r w:rsidRPr="00423CA4">
        <w:t>izmjere odnosno tehničke reambulacije, izrade katastarskog operata ili u okviru izrade i provođenja pojedin</w:t>
      </w:r>
      <w:r w:rsidR="00F95C21" w:rsidRPr="00423CA4">
        <w:t>ačnih</w:t>
      </w:r>
      <w:r w:rsidRPr="00423CA4">
        <w:t xml:space="preserve"> elaborat</w:t>
      </w:r>
      <w:r w:rsidR="0011667B" w:rsidRPr="00423CA4">
        <w:t>a</w:t>
      </w:r>
      <w:r w:rsidRPr="00423CA4">
        <w:t>, a što se ovim elaboratom ispravlja sukladno članku</w:t>
      </w:r>
      <w:r w:rsidR="00423CA4" w:rsidRPr="00423CA4">
        <w:t xml:space="preserve"> 23. i</w:t>
      </w:r>
      <w:r w:rsidRPr="00423CA4">
        <w:t xml:space="preserve"> </w:t>
      </w:r>
      <w:r w:rsidR="00F95C21" w:rsidRPr="00423CA4">
        <w:t>24</w:t>
      </w:r>
      <w:r w:rsidRPr="00423CA4">
        <w:t xml:space="preserve">. </w:t>
      </w:r>
      <w:r w:rsidRPr="00423CA4">
        <w:rPr>
          <w:i/>
        </w:rPr>
        <w:t>Pravilnika o geodetskim elaboratima</w:t>
      </w:r>
      <w:r w:rsidR="00934098" w:rsidRPr="00423CA4">
        <w:rPr>
          <w:i/>
        </w:rPr>
        <w:t xml:space="preserve"> (NN </w:t>
      </w:r>
      <w:r w:rsidR="00DD08BD">
        <w:rPr>
          <w:i/>
        </w:rPr>
        <w:t>7/26</w:t>
      </w:r>
      <w:r w:rsidR="00934098" w:rsidRPr="00423CA4">
        <w:rPr>
          <w:i/>
        </w:rPr>
        <w:t>)</w:t>
      </w:r>
      <w:r w:rsidRPr="00423CA4">
        <w:rPr>
          <w:i/>
        </w:rPr>
        <w:t>.</w:t>
      </w:r>
      <w:r>
        <w:br/>
      </w:r>
      <w:r>
        <w:br/>
        <w:t xml:space="preserve">Na katastarskim česticama koje se nalaze unutar područja mjerenih podataka u k.o. </w:t>
      </w:r>
      <w:r w:rsidRPr="00423CA4">
        <w:rPr>
          <w:color w:val="7030A0"/>
        </w:rPr>
        <w:t>KELEMEN</w:t>
      </w:r>
      <w:r>
        <w:t xml:space="preserve"> usklađuje se način uporabe prema stvarnom stanju na terenu temeljem članka </w:t>
      </w:r>
      <w:r w:rsidR="005960C2">
        <w:t>40</w:t>
      </w:r>
      <w:r w:rsidRPr="00423CA4">
        <w:t xml:space="preserve">. </w:t>
      </w:r>
      <w:r w:rsidR="005960C2">
        <w:rPr>
          <w:i/>
        </w:rPr>
        <w:t xml:space="preserve">Zakona o državnoj izmjeri i katastru nekretnina </w:t>
      </w:r>
      <w:r w:rsidR="005960C2">
        <w:t>(NN 112/18, 39/22,</w:t>
      </w:r>
      <w:r w:rsidR="005960C2" w:rsidRPr="0030210E">
        <w:t xml:space="preserve"> </w:t>
      </w:r>
      <w:r w:rsidR="005960C2">
        <w:t>152/24).</w:t>
      </w:r>
      <w:r w:rsidRPr="00423CA4">
        <w:br/>
      </w:r>
      <w:r>
        <w:br/>
        <w:t xml:space="preserve">Površine katastarskih čestica koje se postupno prilagođavaju katastru nekretnina u novom stanju izračunate su iz izvornih podataka (koordinata lomnih točaka </w:t>
      </w:r>
      <w:r w:rsidR="00423CA4">
        <w:t>granica k.č.)</w:t>
      </w:r>
      <w:r>
        <w:t xml:space="preserve"> dobivenih na temelju terenskih </w:t>
      </w:r>
      <w:r w:rsidRPr="00423CA4">
        <w:t>mjerenja (čl.35. Pravilnika o katastru zemljišta, NN 84/07</w:t>
      </w:r>
      <w:r w:rsidR="00934098" w:rsidRPr="00423CA4">
        <w:t>, 148/09</w:t>
      </w:r>
      <w:r w:rsidRPr="00423CA4">
        <w:t>) kada je uz katastarske čestice naveden način računanja</w:t>
      </w:r>
      <w:r>
        <w:t xml:space="preserve"> M.KOORD, a izvorno mjerilo ima vrijednost "1". Navedeno se odnosi na k.č.: </w:t>
      </w:r>
      <w:r w:rsidR="00AB5741" w:rsidRPr="00423CA4">
        <w:rPr>
          <w:b/>
          <w:color w:val="7030A0"/>
        </w:rPr>
        <w:t>///</w:t>
      </w:r>
      <w:r>
        <w:t xml:space="preserve"> .</w:t>
      </w:r>
      <w:r>
        <w:br/>
      </w:r>
      <w:r>
        <w:br/>
        <w:t xml:space="preserve">Kada katastarske čestice iz dosadašnjeg stanja cijela prelazi u katastar nekretnina i kada je razlika u površini između površine Pk upisane u knjižni dio katastarskog operata i Pm površine izračunate iz mjerenih koordinata unutar razlike dozvoljene u čl. 93. </w:t>
      </w:r>
      <w:r>
        <w:rPr>
          <w:i/>
        </w:rPr>
        <w:t xml:space="preserve">Zakona o državnoj izmjeri i katastru nekretnina </w:t>
      </w:r>
      <w:r w:rsidR="00AB5741">
        <w:t xml:space="preserve">(NN </w:t>
      </w:r>
      <w:r>
        <w:t>112/18,</w:t>
      </w:r>
      <w:r w:rsidR="0030645F">
        <w:t xml:space="preserve"> </w:t>
      </w:r>
      <w:r>
        <w:t>39/22</w:t>
      </w:r>
      <w:r w:rsidR="0030210E">
        <w:t>,</w:t>
      </w:r>
      <w:r w:rsidR="0030210E" w:rsidRPr="0030210E">
        <w:t xml:space="preserve"> </w:t>
      </w:r>
      <w:r w:rsidR="0030210E">
        <w:t>152/24</w:t>
      </w:r>
      <w:r>
        <w:t xml:space="preserve">) te se promjene ne smatraju promjenom sastava zemljišnoknjižnog tijela. Katastarske čestice koje cijele prelaze u katastar nekretnina su: </w:t>
      </w:r>
      <w:r w:rsidRPr="00423CA4">
        <w:rPr>
          <w:b/>
          <w:color w:val="7030A0"/>
        </w:rPr>
        <w:t>///</w:t>
      </w:r>
      <w:r w:rsidRPr="00423CA4">
        <w:rPr>
          <w:color w:val="7030A0"/>
        </w:rPr>
        <w:t xml:space="preserve"> </w:t>
      </w:r>
      <w:r>
        <w:t>.</w:t>
      </w:r>
      <w:r>
        <w:br/>
      </w:r>
      <w:r>
        <w:br/>
        <w:t>Razlika između površine Pk upisane u knjižni dio katastarskog operata i površine Pt izračunate iz DKP-a veća od Δ dopkt (dopuštenog odstupanja za dvostruka mjerenja) u dosadašnjem stanju, nastala je prilikom provođenja katastarske izmjere odnosno tehničke reambulacije, izrade katastarskog operata ili u okviru izrade i provođenja pojedin</w:t>
      </w:r>
      <w:r w:rsidR="00AB5741">
        <w:t xml:space="preserve">ačnih </w:t>
      </w:r>
      <w:r>
        <w:t xml:space="preserve">elaborata. Uvidom u arhivu katastarskog ureda nije utvrđen uzrok pogreške te se ona prenosi na katastarsku česticu u novom stanju koja ostaje izvan područja mjerenih podataka i čija površina je izračunata dopunom. Ova razlika će se ispraviti kada katastarske čestice budu obuhvaćene terenskim mjerenjima. Razlika Pk-Pt je veća od Δ dopkt za k.č.: </w:t>
      </w:r>
      <w:r w:rsidR="00AB5741" w:rsidRPr="00423CA4">
        <w:rPr>
          <w:b/>
          <w:color w:val="7030A0"/>
        </w:rPr>
        <w:t>///</w:t>
      </w:r>
      <w:r>
        <w:t xml:space="preserve">, a katastarske čestice koje sadrže pogrešku su: </w:t>
      </w:r>
      <w:r w:rsidRPr="00423CA4">
        <w:rPr>
          <w:b/>
          <w:color w:val="7030A0"/>
        </w:rPr>
        <w:t>///</w:t>
      </w:r>
      <w:r>
        <w:t xml:space="preserve"> .</w:t>
      </w:r>
      <w:r>
        <w:br/>
      </w:r>
      <w:r>
        <w:br/>
        <w:t>Kada katastarske čestice iz dosadašnjeg stanja cijele prelaze u katastar nekretnina i kada je razlika u površini</w:t>
      </w:r>
      <w:r w:rsidR="00710D31">
        <w:t xml:space="preserve"> </w:t>
      </w:r>
      <w:r>
        <w:t xml:space="preserve">između površine Pk upisane u knjižni dio katastarskog operata i Pm površine izračunate iz mjerenih koordinata izvan razlike dozvoljene u čl. 93. </w:t>
      </w:r>
      <w:r>
        <w:rPr>
          <w:i/>
        </w:rPr>
        <w:t xml:space="preserve">Zakona o državnoj izmjeri i katastru nekretnina </w:t>
      </w:r>
      <w:r>
        <w:t>(</w:t>
      </w:r>
      <w:r w:rsidR="00AB5741">
        <w:t xml:space="preserve">NN </w:t>
      </w:r>
      <w:r>
        <w:t>112/18,</w:t>
      </w:r>
      <w:r w:rsidR="00423CA4">
        <w:t xml:space="preserve"> </w:t>
      </w:r>
      <w:r>
        <w:t>39/22</w:t>
      </w:r>
      <w:r w:rsidR="0030210E">
        <w:t>,</w:t>
      </w:r>
      <w:r w:rsidR="0030210E" w:rsidRPr="0030210E">
        <w:t xml:space="preserve"> </w:t>
      </w:r>
      <w:r w:rsidR="0030210E">
        <w:t>152/24</w:t>
      </w:r>
      <w:r>
        <w:t xml:space="preserve">) te kada uvidom u arhivu katastarskog ureda nije utvrđen uzrok razlike, smatra se </w:t>
      </w:r>
      <w:r w:rsidRPr="00AB5741">
        <w:t>da se radi o gruboj pogrešci u osnivanju i održavanju katastra iz stavka 3. čl. 93.</w:t>
      </w:r>
      <w:r>
        <w:t xml:space="preserve"> </w:t>
      </w:r>
      <w:r>
        <w:rPr>
          <w:i/>
        </w:rPr>
        <w:t xml:space="preserve">Zakona o državnoj izmjeri i katastru nekretnina </w:t>
      </w:r>
      <w:r>
        <w:t>(</w:t>
      </w:r>
      <w:r w:rsidR="00AB5741">
        <w:t xml:space="preserve">NN </w:t>
      </w:r>
      <w:r>
        <w:t>112/18,</w:t>
      </w:r>
      <w:r w:rsidR="0030645F">
        <w:t xml:space="preserve"> </w:t>
      </w:r>
      <w:r>
        <w:lastRenderedPageBreak/>
        <w:t>39/22</w:t>
      </w:r>
      <w:r w:rsidR="0030210E">
        <w:t>,</w:t>
      </w:r>
      <w:r w:rsidR="0030210E" w:rsidRPr="0030210E">
        <w:t xml:space="preserve"> </w:t>
      </w:r>
      <w:r w:rsidR="0030210E">
        <w:t>152/24</w:t>
      </w:r>
      <w:r>
        <w:t xml:space="preserve">) koja se ovim elaboratom ispravlja prema stanju utvrđenom terenskim mjerenjima. Grube pogreške ispravljaju se za k.č.: </w:t>
      </w:r>
      <w:r w:rsidRPr="00423CA4">
        <w:rPr>
          <w:b/>
          <w:color w:val="7030A0"/>
        </w:rPr>
        <w:t>///</w:t>
      </w:r>
      <w:r>
        <w:t xml:space="preserve"> .</w:t>
      </w:r>
      <w:r>
        <w:br/>
      </w:r>
      <w:r>
        <w:br/>
        <w:t xml:space="preserve">Za potrebe izrade ovog elaborata izvršena je terenska izmjera stabiliziranih međnih točaka predmetnih katastarskih čestica, pripadajuće zgrade, čestica ceste, tehničkih elemenata ceste i okolnog detalja </w:t>
      </w:r>
      <w:r w:rsidR="00934098" w:rsidRPr="00654B3F">
        <w:rPr>
          <w:i/>
          <w:iCs/>
          <w:color w:val="FF0000"/>
        </w:rPr>
        <w:t>(Ovdje se navodi što je bilo predmet terenskih snimanja, pa treba prilagoditi ako se radi o elaboratu izvedenih stanja ceste /</w:t>
      </w:r>
      <w:r w:rsidR="0010100F">
        <w:rPr>
          <w:i/>
          <w:iCs/>
          <w:color w:val="FF0000"/>
        </w:rPr>
        <w:t xml:space="preserve"> komunalne infrastrukture</w:t>
      </w:r>
      <w:r w:rsidR="00934098" w:rsidRPr="00654B3F">
        <w:rPr>
          <w:i/>
          <w:iCs/>
          <w:color w:val="FF0000"/>
        </w:rPr>
        <w:t xml:space="preserve"> / vodnih građevina / željeznice, ili ako se snimala samo zgrada za potrebe izrade samo GE11, ili zahvat pomorskog / vodnog dobra itd…) </w:t>
      </w:r>
      <w:r>
        <w:t>tahimetrijskom metodom s totalnom mjernom stanicom "PROIZVOĐAČ I MODEL" te pripadajućom opremom s novopostavljenih pomoćnih položajnih točaka 1P, 2P, 3P kao i GNSS - RTK metodom uređajem "PROIZVOĐAČ I MODEL" pomoću servisa CROPOS, a sve u apsolutnom koordinatnom sustavu HTRS96/TM.</w:t>
      </w:r>
      <w:r>
        <w:br/>
      </w:r>
      <w:r>
        <w:br/>
        <w:t>Koordinate pomoćnih položajnih točaka 1P, 2P određene su GNSS - RTK metodom GNSS uređajem "PROIZVOĐAČ I MODEL"</w:t>
      </w:r>
      <w:r w:rsidR="00710D31">
        <w:t xml:space="preserve"> </w:t>
      </w:r>
      <w:r>
        <w:t>koristeći uslugu visokopreciznog pozicioniranja CROPOS sustava Državne geodetske uprave u apsolutnom koordinatnom sustavu HTRS96/TM. Koordinate preostalih pomoćnih položajnih točaka određene su računanjem poligonskih i nivelmanskih vlakova. Popis koordinata pomoćnih položajnih točaka te popis koordinata detaljnih točaka sastavni su dio ovog elaborata.</w:t>
      </w:r>
    </w:p>
    <w:p w14:paraId="15CD6758" w14:textId="77777777" w:rsidR="00D04A44" w:rsidRDefault="00D04A44">
      <w:pPr>
        <w:spacing w:line="360" w:lineRule="auto"/>
        <w:rPr>
          <w:color w:val="000000" w:themeColor="text1"/>
          <w:szCs w:val="22"/>
        </w:rPr>
      </w:pPr>
    </w:p>
    <w:p w14:paraId="1E8B107E" w14:textId="77777777" w:rsidR="00BF5800" w:rsidRDefault="00BF5800">
      <w:pPr>
        <w:spacing w:line="360" w:lineRule="auto"/>
      </w:pPr>
      <w:r>
        <w:t xml:space="preserve">Geodetska i programska oprema korištena za mjerenja, obradu podataka i izradu geodetskog elaborata: </w:t>
      </w:r>
    </w:p>
    <w:p w14:paraId="4388AB7E" w14:textId="344E35A3" w:rsidR="00BF5800" w:rsidRDefault="00BF5800">
      <w:pPr>
        <w:spacing w:line="360" w:lineRule="auto"/>
      </w:pPr>
      <w:r>
        <w:br/>
      </w:r>
      <w:r w:rsidR="00710D31">
        <w:t xml:space="preserve">  </w:t>
      </w:r>
      <w:r>
        <w:t xml:space="preserve">- GNSS uređaj: </w:t>
      </w:r>
      <w:r>
        <w:br/>
      </w:r>
      <w:r w:rsidR="00710D31">
        <w:t xml:space="preserve">  </w:t>
      </w:r>
      <w:r>
        <w:t xml:space="preserve">- Totalna mjerna stanica: </w:t>
      </w:r>
      <w:r>
        <w:br/>
      </w:r>
      <w:r w:rsidR="00710D31">
        <w:t xml:space="preserve">  </w:t>
      </w:r>
      <w:r>
        <w:t xml:space="preserve">- Operativni sustav: </w:t>
      </w:r>
      <w:r>
        <w:br/>
      </w:r>
      <w:r w:rsidR="00710D31">
        <w:t xml:space="preserve">  </w:t>
      </w:r>
      <w:r>
        <w:t xml:space="preserve">- Program za obradu snimljenih podataka: </w:t>
      </w:r>
      <w:r>
        <w:br/>
      </w:r>
      <w:r w:rsidR="00710D31">
        <w:t xml:space="preserve">  </w:t>
      </w:r>
      <w:r>
        <w:t xml:space="preserve">- Program za grafičku obradu: </w:t>
      </w:r>
      <w:r>
        <w:br/>
      </w:r>
      <w:r w:rsidR="00710D31">
        <w:t xml:space="preserve">  </w:t>
      </w:r>
      <w:r>
        <w:t xml:space="preserve">- Program za obradu teksta: </w:t>
      </w:r>
      <w:r>
        <w:br/>
      </w:r>
      <w:r w:rsidR="00710D31">
        <w:t xml:space="preserve">  </w:t>
      </w:r>
      <w:r>
        <w:t xml:space="preserve">- Program za računsku obradu: </w:t>
      </w:r>
      <w:r>
        <w:br/>
      </w:r>
      <w:r w:rsidR="00710D31">
        <w:t xml:space="preserve">  </w:t>
      </w:r>
      <w:r>
        <w:t xml:space="preserve">- Program za računanje poligonskih i nivelmanskih vlakova: </w:t>
      </w:r>
    </w:p>
    <w:p w14:paraId="2CC9ACE8" w14:textId="77777777" w:rsidR="00BF5800" w:rsidRDefault="00BF5800">
      <w:pPr>
        <w:spacing w:line="360" w:lineRule="auto"/>
      </w:pPr>
    </w:p>
    <w:p w14:paraId="32D7C6CD" w14:textId="6D27D956" w:rsidR="003542FB" w:rsidRPr="00076617" w:rsidRDefault="003542FB">
      <w:pPr>
        <w:spacing w:line="360" w:lineRule="auto"/>
        <w:rPr>
          <w:rFonts w:eastAsiaTheme="minorHAnsi" w:cs="Segoe UI"/>
          <w:b/>
          <w:szCs w:val="22"/>
          <w:lang w:eastAsia="en-US"/>
        </w:rPr>
      </w:pPr>
      <w:r w:rsidRPr="00D97235">
        <w:rPr>
          <w:rFonts w:eastAsiaTheme="minorHAnsi" w:cs="Segoe UI"/>
          <w:b/>
          <w:szCs w:val="22"/>
          <w:lang w:eastAsia="en-US"/>
        </w:rPr>
        <w:t>Odgovorna osoba za obavljanje stručnih geodetskih poslova:</w:t>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r>
        <w:rPr>
          <w:color w:val="000000" w:themeColor="text1"/>
          <w:szCs w:val="22"/>
        </w:rPr>
        <w:softHyphen/>
      </w:r>
    </w:p>
    <w:p w14:paraId="2F6F16A1" w14:textId="77777777" w:rsidR="00D04A44" w:rsidRDefault="00D04A44" w:rsidP="00423CA4">
      <w:pPr>
        <w:pStyle w:val="CommentText"/>
        <w:tabs>
          <w:tab w:val="left" w:pos="3686"/>
        </w:tabs>
        <w:spacing w:line="360" w:lineRule="auto"/>
        <w:jc w:val="both"/>
        <w:rPr>
          <w:iCs/>
          <w:noProof/>
          <w:szCs w:val="22"/>
        </w:rPr>
      </w:pPr>
      <w:r w:rsidRPr="000D2977">
        <w:rPr>
          <w:iCs/>
          <w:noProof/>
          <w:sz w:val="22"/>
          <w:szCs w:val="22"/>
        </w:rPr>
        <w:t>Ivan Horvat, mag. ing. geod. et geoinf.</w:t>
      </w:r>
    </w:p>
    <w:p w14:paraId="3CA243A7" w14:textId="77777777" w:rsidR="003542FB" w:rsidRDefault="003542FB">
      <w:pPr>
        <w:spacing w:line="360" w:lineRule="auto"/>
        <w:rPr>
          <w:szCs w:val="22"/>
        </w:rPr>
      </w:pPr>
    </w:p>
    <w:p w14:paraId="74C3F6A3" w14:textId="380A2BD2" w:rsidR="003542FB" w:rsidRDefault="003542FB" w:rsidP="00423CA4">
      <w:pPr>
        <w:spacing w:after="200" w:line="360" w:lineRule="auto"/>
        <w:rPr>
          <w:noProof/>
        </w:rPr>
      </w:pPr>
    </w:p>
    <w:p w14:paraId="36921B22" w14:textId="77777777" w:rsidR="000D2977" w:rsidRPr="00DB7BCF" w:rsidRDefault="000D2977">
      <w:pPr>
        <w:spacing w:line="360" w:lineRule="auto"/>
        <w:rPr>
          <w:noProof/>
        </w:rPr>
      </w:pPr>
    </w:p>
    <w:sectPr w:rsidR="000D2977" w:rsidRPr="00DB7BCF" w:rsidSect="00F030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5F368" w14:textId="77777777" w:rsidR="003134D4" w:rsidRDefault="003134D4" w:rsidP="00C51442">
      <w:r>
        <w:separator/>
      </w:r>
    </w:p>
  </w:endnote>
  <w:endnote w:type="continuationSeparator" w:id="0">
    <w:p w14:paraId="1BB4CAAE" w14:textId="77777777" w:rsidR="003134D4" w:rsidRDefault="003134D4" w:rsidP="00C51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D9FF1" w14:textId="77777777" w:rsidR="003134D4" w:rsidRDefault="003134D4" w:rsidP="00C51442">
      <w:r>
        <w:separator/>
      </w:r>
    </w:p>
  </w:footnote>
  <w:footnote w:type="continuationSeparator" w:id="0">
    <w:p w14:paraId="3C1AFD8B" w14:textId="77777777" w:rsidR="003134D4" w:rsidRDefault="003134D4" w:rsidP="00C514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FED"/>
    <w:rsid w:val="00012891"/>
    <w:rsid w:val="0002300C"/>
    <w:rsid w:val="000515A5"/>
    <w:rsid w:val="000935D5"/>
    <w:rsid w:val="00094A9E"/>
    <w:rsid w:val="000D2977"/>
    <w:rsid w:val="000E6BEF"/>
    <w:rsid w:val="0010100F"/>
    <w:rsid w:val="0011667B"/>
    <w:rsid w:val="0013260D"/>
    <w:rsid w:val="0017700E"/>
    <w:rsid w:val="00182CF8"/>
    <w:rsid w:val="001A676A"/>
    <w:rsid w:val="001A7210"/>
    <w:rsid w:val="00224DD9"/>
    <w:rsid w:val="00231C67"/>
    <w:rsid w:val="00263AE5"/>
    <w:rsid w:val="00293644"/>
    <w:rsid w:val="00295F5E"/>
    <w:rsid w:val="002A6184"/>
    <w:rsid w:val="002C0866"/>
    <w:rsid w:val="002D059F"/>
    <w:rsid w:val="002D2C03"/>
    <w:rsid w:val="002E3C40"/>
    <w:rsid w:val="002F1226"/>
    <w:rsid w:val="0030210E"/>
    <w:rsid w:val="0030645F"/>
    <w:rsid w:val="003134D4"/>
    <w:rsid w:val="00330BB6"/>
    <w:rsid w:val="00334D60"/>
    <w:rsid w:val="003542FB"/>
    <w:rsid w:val="003C4E0E"/>
    <w:rsid w:val="003C552F"/>
    <w:rsid w:val="00402A9A"/>
    <w:rsid w:val="004030BC"/>
    <w:rsid w:val="00423CA4"/>
    <w:rsid w:val="004A0017"/>
    <w:rsid w:val="004A3C6B"/>
    <w:rsid w:val="004C5AF0"/>
    <w:rsid w:val="00501179"/>
    <w:rsid w:val="005378D4"/>
    <w:rsid w:val="005767DD"/>
    <w:rsid w:val="005800B9"/>
    <w:rsid w:val="005960C2"/>
    <w:rsid w:val="005A5F88"/>
    <w:rsid w:val="005B1123"/>
    <w:rsid w:val="005B3785"/>
    <w:rsid w:val="005D0AD6"/>
    <w:rsid w:val="005F0B4B"/>
    <w:rsid w:val="0061668E"/>
    <w:rsid w:val="00620103"/>
    <w:rsid w:val="00654B3F"/>
    <w:rsid w:val="00664C84"/>
    <w:rsid w:val="0067782F"/>
    <w:rsid w:val="006C7028"/>
    <w:rsid w:val="00703025"/>
    <w:rsid w:val="00710D31"/>
    <w:rsid w:val="007207E7"/>
    <w:rsid w:val="00732E6A"/>
    <w:rsid w:val="007376D7"/>
    <w:rsid w:val="0075112E"/>
    <w:rsid w:val="007A2351"/>
    <w:rsid w:val="00810DE2"/>
    <w:rsid w:val="0083319A"/>
    <w:rsid w:val="00860146"/>
    <w:rsid w:val="00886D70"/>
    <w:rsid w:val="008B44BC"/>
    <w:rsid w:val="009023DA"/>
    <w:rsid w:val="00934098"/>
    <w:rsid w:val="00947C2F"/>
    <w:rsid w:val="00967449"/>
    <w:rsid w:val="009804C6"/>
    <w:rsid w:val="009B1039"/>
    <w:rsid w:val="009B6099"/>
    <w:rsid w:val="00A62FED"/>
    <w:rsid w:val="00AB0CA2"/>
    <w:rsid w:val="00AB5741"/>
    <w:rsid w:val="00AD70C2"/>
    <w:rsid w:val="00B231B9"/>
    <w:rsid w:val="00B56A90"/>
    <w:rsid w:val="00B91A6F"/>
    <w:rsid w:val="00B94B60"/>
    <w:rsid w:val="00BC0676"/>
    <w:rsid w:val="00BF5800"/>
    <w:rsid w:val="00C311CC"/>
    <w:rsid w:val="00C51442"/>
    <w:rsid w:val="00C60663"/>
    <w:rsid w:val="00CB33FB"/>
    <w:rsid w:val="00CB71D5"/>
    <w:rsid w:val="00CC107B"/>
    <w:rsid w:val="00CD64E0"/>
    <w:rsid w:val="00D0361E"/>
    <w:rsid w:val="00D04A44"/>
    <w:rsid w:val="00D72629"/>
    <w:rsid w:val="00D84F17"/>
    <w:rsid w:val="00D87B94"/>
    <w:rsid w:val="00D90CF0"/>
    <w:rsid w:val="00DB7BCF"/>
    <w:rsid w:val="00DD08BD"/>
    <w:rsid w:val="00DF5F09"/>
    <w:rsid w:val="00E219CB"/>
    <w:rsid w:val="00E30359"/>
    <w:rsid w:val="00E63737"/>
    <w:rsid w:val="00ED75C1"/>
    <w:rsid w:val="00F030AA"/>
    <w:rsid w:val="00F52409"/>
    <w:rsid w:val="00F74E47"/>
    <w:rsid w:val="00F95C21"/>
    <w:rsid w:val="00FA51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7AB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359"/>
    <w:pPr>
      <w:spacing w:after="0" w:line="240" w:lineRule="auto"/>
    </w:pPr>
    <w:rPr>
      <w:rFonts w:ascii="Arial Narrow" w:eastAsia="Times New Roman" w:hAnsi="Arial Narrow" w:cs="Times New Roman"/>
      <w:szCs w:val="24"/>
      <w:lang w:val="hr-HR" w:eastAsia="hr-HR"/>
    </w:rPr>
  </w:style>
  <w:style w:type="paragraph" w:styleId="Heading1">
    <w:name w:val="heading 1"/>
    <w:uiPriority w:val="9"/>
    <w:rsid w:val="00285B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uiPriority w:val="9"/>
    <w:unhideWhenUsed/>
    <w:rsid w:val="00285B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uiPriority w:val="9"/>
    <w:unhideWhenUsed/>
    <w:rsid w:val="00285B6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uiPriority w:val="9"/>
    <w:unhideWhenUsed/>
    <w:qFormat/>
    <w:rsid w:val="005F433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themeColor="hyperlink"/>
      <w:u w:val="single"/>
    </w:rPr>
  </w:style>
  <w:style w:type="paragraph" w:styleId="Revision">
    <w:name w:val="Revision"/>
    <w:hidden/>
    <w:uiPriority w:val="99"/>
    <w:semiHidden/>
    <w:rsid w:val="00330BB6"/>
    <w:pPr>
      <w:spacing w:after="0" w:line="240" w:lineRule="auto"/>
    </w:pPr>
    <w:rPr>
      <w:rFonts w:ascii="Arial Narrow" w:eastAsia="Times New Roman" w:hAnsi="Arial Narrow" w:cs="Times New Roman"/>
      <w:szCs w:val="24"/>
      <w:lang w:val="hr-HR" w:eastAsia="hr-HR"/>
    </w:rPr>
  </w:style>
  <w:style w:type="character" w:styleId="CommentReference">
    <w:name w:val="annotation reference"/>
    <w:basedOn w:val="DefaultParagraphFont"/>
    <w:uiPriority w:val="99"/>
    <w:unhideWhenUsed/>
    <w:rsid w:val="008B44BC"/>
    <w:rPr>
      <w:sz w:val="16"/>
      <w:szCs w:val="16"/>
    </w:rPr>
  </w:style>
  <w:style w:type="paragraph" w:styleId="CommentText">
    <w:name w:val="annotation text"/>
    <w:basedOn w:val="Normal"/>
    <w:link w:val="CommentTextChar"/>
    <w:uiPriority w:val="99"/>
    <w:unhideWhenUsed/>
    <w:rsid w:val="008B44BC"/>
    <w:rPr>
      <w:sz w:val="20"/>
      <w:szCs w:val="20"/>
    </w:rPr>
  </w:style>
  <w:style w:type="character" w:customStyle="1" w:styleId="CommentTextChar">
    <w:name w:val="Comment Text Char"/>
    <w:basedOn w:val="DefaultParagraphFont"/>
    <w:link w:val="CommentText"/>
    <w:uiPriority w:val="99"/>
    <w:rsid w:val="008B44BC"/>
    <w:rPr>
      <w:rFonts w:ascii="Arial Narrow" w:eastAsia="Times New Roman" w:hAnsi="Arial Narrow" w:cs="Times New Roman"/>
      <w:sz w:val="20"/>
      <w:szCs w:val="20"/>
      <w:lang w:val="hr-HR" w:eastAsia="hr-HR"/>
    </w:rPr>
  </w:style>
  <w:style w:type="paragraph" w:styleId="CommentSubject">
    <w:name w:val="annotation subject"/>
    <w:basedOn w:val="CommentText"/>
    <w:next w:val="CommentText"/>
    <w:link w:val="CommentSubjectChar"/>
    <w:uiPriority w:val="99"/>
    <w:semiHidden/>
    <w:unhideWhenUsed/>
    <w:rsid w:val="008B44BC"/>
    <w:rPr>
      <w:b/>
      <w:bCs/>
    </w:rPr>
  </w:style>
  <w:style w:type="character" w:customStyle="1" w:styleId="CommentSubjectChar">
    <w:name w:val="Comment Subject Char"/>
    <w:basedOn w:val="CommentTextChar"/>
    <w:link w:val="CommentSubject"/>
    <w:uiPriority w:val="99"/>
    <w:semiHidden/>
    <w:rsid w:val="008B44BC"/>
    <w:rPr>
      <w:rFonts w:ascii="Arial Narrow" w:eastAsia="Times New Roman" w:hAnsi="Arial Narrow" w:cs="Times New Roman"/>
      <w:b/>
      <w:bCs/>
      <w:sz w:val="20"/>
      <w:szCs w:val="20"/>
      <w:lang w:val="hr-HR" w:eastAsia="hr-HR"/>
    </w:rPr>
  </w:style>
  <w:style w:type="paragraph" w:styleId="Header">
    <w:name w:val="header"/>
    <w:basedOn w:val="Normal"/>
    <w:link w:val="HeaderChar"/>
    <w:uiPriority w:val="99"/>
    <w:unhideWhenUsed/>
    <w:rsid w:val="00C51442"/>
    <w:pPr>
      <w:tabs>
        <w:tab w:val="center" w:pos="4536"/>
        <w:tab w:val="right" w:pos="9072"/>
      </w:tabs>
    </w:pPr>
  </w:style>
  <w:style w:type="character" w:customStyle="1" w:styleId="HeaderChar">
    <w:name w:val="Header Char"/>
    <w:basedOn w:val="DefaultParagraphFont"/>
    <w:link w:val="Header"/>
    <w:uiPriority w:val="99"/>
    <w:rsid w:val="00C51442"/>
    <w:rPr>
      <w:rFonts w:ascii="Arial Narrow" w:eastAsia="Times New Roman" w:hAnsi="Arial Narrow" w:cs="Times New Roman"/>
      <w:szCs w:val="24"/>
      <w:lang w:val="hr-HR" w:eastAsia="hr-HR"/>
    </w:rPr>
  </w:style>
  <w:style w:type="paragraph" w:styleId="Footer">
    <w:name w:val="footer"/>
    <w:basedOn w:val="Normal"/>
    <w:link w:val="FooterChar"/>
    <w:uiPriority w:val="99"/>
    <w:unhideWhenUsed/>
    <w:rsid w:val="00C51442"/>
    <w:pPr>
      <w:tabs>
        <w:tab w:val="center" w:pos="4536"/>
        <w:tab w:val="right" w:pos="9072"/>
      </w:tabs>
    </w:pPr>
  </w:style>
  <w:style w:type="character" w:customStyle="1" w:styleId="FooterChar">
    <w:name w:val="Footer Char"/>
    <w:basedOn w:val="DefaultParagraphFont"/>
    <w:link w:val="Footer"/>
    <w:uiPriority w:val="99"/>
    <w:rsid w:val="00C51442"/>
    <w:rPr>
      <w:rFonts w:ascii="Arial Narrow" w:eastAsia="Times New Roman" w:hAnsi="Arial Narrow" w:cs="Times New Roman"/>
      <w:szCs w:val="24"/>
      <w:lang w:val="hr-HR" w:eastAsia="hr-HR"/>
    </w:rPr>
  </w:style>
  <w:style w:type="paragraph" w:styleId="BalloonText">
    <w:name w:val="Balloon Text"/>
    <w:basedOn w:val="Normal"/>
    <w:link w:val="BalloonTextChar"/>
    <w:uiPriority w:val="99"/>
    <w:semiHidden/>
    <w:unhideWhenUsed/>
    <w:rsid w:val="006778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782F"/>
    <w:rPr>
      <w:rFonts w:ascii="Segoe UI" w:eastAsia="Times New Roman" w:hAnsi="Segoe UI" w:cs="Segoe UI"/>
      <w:sz w:val="18"/>
      <w:szCs w:val="18"/>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632738">
      <w:bodyDiv w:val="1"/>
      <w:marLeft w:val="0"/>
      <w:marRight w:val="0"/>
      <w:marTop w:val="0"/>
      <w:marBottom w:val="0"/>
      <w:divBdr>
        <w:top w:val="none" w:sz="0" w:space="0" w:color="auto"/>
        <w:left w:val="none" w:sz="0" w:space="0" w:color="auto"/>
        <w:bottom w:val="none" w:sz="0" w:space="0" w:color="auto"/>
        <w:right w:val="none" w:sz="0" w:space="0" w:color="auto"/>
      </w:divBdr>
    </w:div>
    <w:div w:id="1366557784">
      <w:bodyDiv w:val="1"/>
      <w:marLeft w:val="0"/>
      <w:marRight w:val="0"/>
      <w:marTop w:val="0"/>
      <w:marBottom w:val="0"/>
      <w:divBdr>
        <w:top w:val="none" w:sz="0" w:space="0" w:color="auto"/>
        <w:left w:val="none" w:sz="0" w:space="0" w:color="auto"/>
        <w:bottom w:val="none" w:sz="0" w:space="0" w:color="auto"/>
        <w:right w:val="none" w:sz="0" w:space="0" w:color="auto"/>
      </w:divBdr>
    </w:div>
    <w:div w:id="191557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ilotdge@pilotdge.h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AF165-76CF-4ED1-8D3D-D3FFC9F38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1517</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2025-11-10T08:24:00Z</dcterms:created>
  <dcterms:modified xsi:type="dcterms:W3CDTF">2026-01-30T12:44:00Z</dcterms:modified>
</cp:coreProperties>
</file>